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jc w:val="center"/>
        <w:rPr>
          <w:rFonts w:ascii="Times New Roman" w:hAnsi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/>
          <w:b/>
          <w:bCs/>
          <w:sz w:val="24"/>
          <w:szCs w:val="24"/>
          <w:lang w:val="pl-PL"/>
        </w:rPr>
        <w:t>„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Klauzula informacyjna RODO”</w:t>
      </w:r>
    </w:p>
    <w:p>
      <w:pPr>
        <w:pStyle w:val="Normal"/>
        <w:spacing w:lineRule="auto" w:line="240" w:before="0" w:after="150"/>
        <w:ind w:hanging="0" w:left="0" w:right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pl-PL"/>
        </w:rPr>
        <w:t xml:space="preserve">Zgodnie z art. 13 ust. 1 i 2 </w:t>
      </w:r>
      <w:r>
        <w:rPr>
          <w:rFonts w:cs="Arial" w:ascii="Times New Roman" w:hAnsi="Times New Roman"/>
          <w:sz w:val="24"/>
          <w:szCs w:val="24"/>
        </w:rPr>
        <w:t>rozporządzenia Parlamentu Europejskiego i Rady (UE) 2016/679</w:t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(Dz. Urz. UE L 119 z 04.05.2016, str. 1), </w:t>
      </w:r>
      <w:r>
        <w:rPr>
          <w:rFonts w:eastAsia="Times New Roman" w:cs="Arial" w:ascii="Times New Roman" w:hAnsi="Times New Roman"/>
          <w:sz w:val="24"/>
          <w:szCs w:val="24"/>
          <w:lang w:eastAsia="pl-PL"/>
        </w:rPr>
        <w:t xml:space="preserve">dalej „RODO”, informuję, że: </w:t>
      </w:r>
    </w:p>
    <w:p>
      <w:pPr>
        <w:pStyle w:val="ListParagraph"/>
        <w:numPr>
          <w:ilvl w:val="0"/>
          <w:numId w:val="1"/>
        </w:numPr>
        <w:spacing w:lineRule="auto" w:line="240" w:before="0" w:after="150"/>
        <w:ind w:hanging="426" w:left="426" w:righ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pl-PL"/>
        </w:rPr>
        <w:t xml:space="preserve">administratorem Pani/Pana danych osobowych jest </w:t>
      </w:r>
      <w:r>
        <w:rPr>
          <w:rFonts w:eastAsia="Times New Roman" w:cs="Arial" w:ascii="Times New Roman" w:hAnsi="Times New Roman"/>
          <w:i w:val="false"/>
          <w:iCs w:val="false"/>
          <w:sz w:val="24"/>
          <w:szCs w:val="24"/>
          <w:lang w:eastAsia="pl-PL"/>
        </w:rPr>
        <w:t>Urząd Miejski w Starachowicach,</w:t>
        <w:br/>
        <w:t>ul. Radomska 45, 27-200 Starachowice, tel. (41) 273-82-75.</w:t>
      </w:r>
    </w:p>
    <w:p>
      <w:pPr>
        <w:pStyle w:val="ListParagraph"/>
        <w:numPr>
          <w:ilvl w:val="0"/>
          <w:numId w:val="2"/>
        </w:numPr>
        <w:spacing w:lineRule="auto" w:line="240" w:before="0" w:after="150"/>
        <w:ind w:hanging="426" w:left="426" w:right="0"/>
        <w:contextualSpacing w:val="false"/>
        <w:jc w:val="both"/>
        <w:rPr/>
      </w:pPr>
      <w:r>
        <w:rPr>
          <w:rFonts w:eastAsia="Times New Roman" w:cs="Arial" w:ascii="Times New Roman" w:hAnsi="Times New Roman"/>
          <w:sz w:val="24"/>
          <w:szCs w:val="24"/>
          <w:lang w:eastAsia="pl-PL"/>
        </w:rPr>
        <w:t>inspektorem ochrony da</w:t>
      </w: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sz w:val="24"/>
          <w:szCs w:val="24"/>
          <w:lang w:eastAsia="pl-PL"/>
        </w:rPr>
        <w:t>nych osobowych w Urzędzie Miejskim w Starachowicach jest Pan</w:t>
      </w: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sz w:val="24"/>
          <w:szCs w:val="24"/>
          <w:vertAlign w:val="superscript"/>
          <w:lang w:eastAsia="pl-PL"/>
        </w:rPr>
        <w:t xml:space="preserve"> </w:t>
      </w: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position w:val="0"/>
          <w:sz w:val="24"/>
          <w:sz w:val="24"/>
          <w:szCs w:val="24"/>
          <w:vertAlign w:val="baseline"/>
          <w:lang w:eastAsia="pl-PL"/>
        </w:rPr>
        <w:t>Wojciech Gawęcki</w:t>
      </w: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sz w:val="24"/>
          <w:szCs w:val="24"/>
          <w:lang w:eastAsia="pl-PL"/>
        </w:rPr>
        <w:t xml:space="preserve">; e-mail: </w:t>
      </w:r>
      <w:hyperlink r:id="rId2">
        <w:r>
          <w:rPr>
            <w:rStyle w:val="Hyperlink"/>
            <w:rFonts w:ascii="Times New Roman" w:hAnsi="Times New Roman"/>
            <w:sz w:val="24"/>
            <w:szCs w:val="24"/>
          </w:rPr>
          <w:t>wojciech.gawecki@starachowice.eu</w:t>
        </w:r>
      </w:hyperlink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sz w:val="24"/>
          <w:szCs w:val="24"/>
          <w:lang w:eastAsia="pl-PL"/>
        </w:rPr>
        <w:t xml:space="preserve"> </w:t>
      </w:r>
    </w:p>
    <w:p>
      <w:pPr>
        <w:pStyle w:val="ListParagraph"/>
        <w:widowControl/>
        <w:numPr>
          <w:ilvl w:val="0"/>
          <w:numId w:val="2"/>
        </w:numPr>
        <w:bidi w:val="0"/>
        <w:spacing w:lineRule="auto" w:line="240" w:before="0" w:after="150"/>
        <w:ind w:hanging="426" w:left="426" w:right="0"/>
        <w:contextualSpacing w:val="false"/>
        <w:jc w:val="both"/>
        <w:rPr/>
      </w:pPr>
      <w:r>
        <w:rPr>
          <w:rFonts w:eastAsia="Times New Roman" w:cs="Arial" w:ascii="Times New Roman" w:hAnsi="Times New Roman"/>
          <w:color w:val="auto"/>
          <w:sz w:val="24"/>
          <w:szCs w:val="24"/>
          <w:lang w:eastAsia="pl-PL"/>
        </w:rPr>
        <w:t>Pani/Pana</w:t>
      </w:r>
      <w:r>
        <w:rPr>
          <w:rFonts w:eastAsia="Times New Roman" w:cs="Arial"/>
          <w:lang w:eastAsia="pl-PL"/>
        </w:rPr>
        <w:t xml:space="preserve"> dane osobowe przetwarzane będą na podstawie art. 6 ust. 1 lit. c</w:t>
      </w:r>
      <w:r>
        <w:rPr>
          <w:rFonts w:eastAsia="Times New Roman" w:cs="Arial"/>
          <w:i/>
          <w:lang w:eastAsia="pl-PL"/>
        </w:rPr>
        <w:t xml:space="preserve"> </w:t>
      </w:r>
      <w:r>
        <w:rPr>
          <w:rFonts w:eastAsia="Times New Roman" w:cs="Arial"/>
          <w:lang w:eastAsia="pl-PL"/>
        </w:rPr>
        <w:t>RODO</w:t>
        <w:br/>
        <w:t xml:space="preserve">w celu </w:t>
      </w:r>
      <w:r>
        <w:rPr>
          <w:rFonts w:cs="Arial"/>
        </w:rPr>
        <w:t>związanym z postępowaniem o udzielenie zamówienia publicznego pn.</w:t>
      </w:r>
    </w:p>
    <w:p>
      <w:pPr>
        <w:pStyle w:val="ListParagraph"/>
        <w:widowControl/>
        <w:numPr>
          <w:ilvl w:val="0"/>
          <w:numId w:val="0"/>
        </w:numPr>
        <w:bidi w:val="0"/>
        <w:spacing w:lineRule="auto" w:line="240" w:before="0" w:after="150"/>
        <w:ind w:hanging="0" w:left="426" w:right="0"/>
        <w:contextualSpacing w:val="false"/>
        <w:jc w:val="both"/>
        <w:rPr/>
      </w:pPr>
      <w:r>
        <w:rPr>
          <w:rStyle w:val="Domylnaczcionkaakapitu"/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shadow w:val="false"/>
          <w:vanish w:val="false"/>
          <w:color w:val="000000"/>
          <w:spacing w:val="-7"/>
          <w:w w:val="102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h-CN" w:bidi="ar-SA"/>
        </w:rPr>
        <w:t>„</w:t>
      </w:r>
      <w:r>
        <w:rPr>
          <w:rStyle w:val="Domylnaczcionkaakapitu"/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shadow w:val="false"/>
          <w:vanish w:val="false"/>
          <w:color w:val="000000"/>
          <w:spacing w:val="-7"/>
          <w:w w:val="102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h-CN" w:bidi="ar-SA"/>
        </w:rPr>
        <w:t>Zakup materiałów dydaktycznych i wyposażenia do pracowni STEM</w:t>
        <w:br/>
        <w:t>w czterech szkołach (SP1, SP</w:t>
      </w:r>
      <w:r>
        <w:rPr>
          <w:rStyle w:val="Domylnaczcionkaakapitu"/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shadow w:val="false"/>
          <w:vanish w:val="false"/>
          <w:color w:val="000000"/>
          <w:spacing w:val="-7"/>
          <w:w w:val="102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h-CN" w:bidi="ar-SA"/>
        </w:rPr>
        <w:t>9</w:t>
      </w:r>
      <w:r>
        <w:rPr>
          <w:rStyle w:val="Domylnaczcionkaakapitu"/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shadow w:val="false"/>
          <w:vanish w:val="false"/>
          <w:color w:val="000000"/>
          <w:spacing w:val="-7"/>
          <w:w w:val="102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h-CN" w:bidi="ar-SA"/>
        </w:rPr>
        <w:t>, SP10, SP 13)”</w:t>
      </w:r>
    </w:p>
    <w:p>
      <w:pPr>
        <w:pStyle w:val="ListParagraph"/>
        <w:numPr>
          <w:ilvl w:val="0"/>
          <w:numId w:val="2"/>
        </w:numPr>
        <w:spacing w:lineRule="auto" w:line="240" w:before="113" w:after="153"/>
        <w:ind w:hanging="426" w:left="426" w:right="0"/>
        <w:contextualSpacing w:val="false"/>
        <w:jc w:val="both"/>
        <w:rPr>
          <w:rFonts w:ascii="Times New Roman" w:hAnsi="Times New Roman" w:eastAsia="Times New Roman" w:cs="Arial"/>
          <w:sz w:val="24"/>
          <w:szCs w:val="24"/>
          <w:lang w:eastAsia="pl-PL"/>
        </w:rPr>
      </w:pPr>
      <w:r>
        <w:rPr>
          <w:rFonts w:eastAsia="Times New Roman" w:cs="Arial" w:ascii="Times New Roman" w:hAnsi="Times New Roman"/>
          <w:sz w:val="24"/>
          <w:szCs w:val="24"/>
          <w:lang w:eastAsia="pl-PL"/>
        </w:rPr>
        <w:t>odbiorcami Pani/Pana danych osobowych będą osoby lub podmioty, którym udostępniona zostanie dokumentacja postępowania w oparciu o art. 18 oraz 74 ustawy z dnia</w:t>
        <w:br/>
        <w:t xml:space="preserve">11 września 2019 r. – Prawo zamówień publicznych, dalej „ustawa Pzp”;  </w:t>
      </w:r>
    </w:p>
    <w:p>
      <w:pPr>
        <w:pStyle w:val="ListParagraph"/>
        <w:widowControl/>
        <w:numPr>
          <w:ilvl w:val="0"/>
          <w:numId w:val="2"/>
        </w:numPr>
        <w:bidi w:val="0"/>
        <w:spacing w:lineRule="auto" w:line="240" w:before="0" w:after="150"/>
        <w:ind w:hanging="426" w:left="426" w:right="0"/>
        <w:contextualSpacing w:val="false"/>
        <w:jc w:val="both"/>
        <w:rPr/>
      </w:pPr>
      <w:r>
        <w:rPr>
          <w:rFonts w:eastAsia="Times New Roman" w:cs="Arial"/>
          <w:lang w:eastAsia="pl-PL"/>
        </w:rPr>
        <w:t xml:space="preserve">Pani/Pana dane osobowe będą przechowywane, zgodnie z art. 78 ust. 1 ustawy Pzp, przez </w:t>
      </w:r>
      <w:r>
        <w:rPr>
          <w:rFonts w:eastAsia="Times New Roman" w:cs="Arial"/>
          <w:color w:val="000000"/>
          <w:lang w:eastAsia="pl-PL"/>
        </w:rPr>
        <w:t xml:space="preserve">okres 4 lat </w:t>
      </w:r>
      <w:r>
        <w:rPr>
          <w:rFonts w:eastAsia="Times New Roman" w:cs="Arial"/>
          <w:lang w:eastAsia="pl-PL"/>
        </w:rPr>
        <w:t>od dnia zakończenia postępowania o udzielenie zamówienia, (jeżeli czas trwania umowy przekracza 4 lata, okres przechowywania obejmuje cały czas trwania umowy);</w:t>
      </w:r>
    </w:p>
    <w:p>
      <w:pPr>
        <w:pStyle w:val="ListParagraph"/>
        <w:numPr>
          <w:ilvl w:val="0"/>
          <w:numId w:val="2"/>
        </w:numPr>
        <w:spacing w:lineRule="auto" w:line="240" w:before="0" w:after="150"/>
        <w:ind w:hanging="426" w:left="426" w:right="0"/>
        <w:contextualSpacing w:val="false"/>
        <w:jc w:val="both"/>
        <w:rPr>
          <w:rFonts w:ascii="Times New Roman" w:hAnsi="Times New Roman" w:eastAsia="Times New Roman" w:cs="Arial"/>
          <w:sz w:val="24"/>
          <w:szCs w:val="24"/>
          <w:lang w:eastAsia="pl-PL"/>
        </w:rPr>
      </w:pPr>
      <w:r>
        <w:rPr>
          <w:rFonts w:eastAsia="Times New Roman" w:cs="Arial" w:ascii="Times New Roman" w:hAnsi="Times New Roman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>
      <w:pPr>
        <w:pStyle w:val="ListParagraph"/>
        <w:numPr>
          <w:ilvl w:val="0"/>
          <w:numId w:val="2"/>
        </w:numPr>
        <w:spacing w:lineRule="auto" w:line="240" w:before="0" w:after="150"/>
        <w:ind w:hanging="426" w:left="426" w:right="0"/>
        <w:contextualSpacing w:val="false"/>
        <w:jc w:val="both"/>
        <w:rPr>
          <w:rFonts w:ascii="Times New Roman" w:hAnsi="Times New Roman" w:eastAsia="Times New Roman" w:cs="Arial"/>
          <w:sz w:val="24"/>
          <w:szCs w:val="24"/>
          <w:lang w:eastAsia="pl-PL"/>
        </w:rPr>
      </w:pPr>
      <w:r>
        <w:rPr>
          <w:rFonts w:eastAsia="Times New Roman" w:cs="Arial" w:ascii="Times New Roman" w:hAnsi="Times New Roman"/>
          <w:sz w:val="24"/>
          <w:szCs w:val="24"/>
          <w:lang w:eastAsia="pl-PL"/>
        </w:rPr>
        <w:t>w odniesieniu do Pani/Pana danych osobowych decyzje nie będą podejmowane w sposób zautomatyzowany, stosowanie do art. 22 RODO;</w:t>
      </w:r>
    </w:p>
    <w:p>
      <w:pPr>
        <w:pStyle w:val="ListParagraph"/>
        <w:numPr>
          <w:ilvl w:val="0"/>
          <w:numId w:val="2"/>
        </w:numPr>
        <w:spacing w:lineRule="auto" w:line="240" w:before="57" w:after="57"/>
        <w:ind w:hanging="426" w:left="426" w:right="0"/>
        <w:contextualSpacing w:val="false"/>
        <w:jc w:val="both"/>
        <w:rPr>
          <w:rFonts w:ascii="Times New Roman" w:hAnsi="Times New Roman" w:eastAsia="Times New Roman" w:cs="Arial"/>
          <w:sz w:val="24"/>
          <w:szCs w:val="24"/>
          <w:lang w:eastAsia="pl-PL"/>
        </w:rPr>
      </w:pPr>
      <w:r>
        <w:rPr>
          <w:rFonts w:eastAsia="Times New Roman" w:cs="Arial" w:ascii="Times New Roman" w:hAnsi="Times New Roman"/>
          <w:sz w:val="24"/>
          <w:szCs w:val="24"/>
          <w:lang w:eastAsia="pl-PL"/>
        </w:rPr>
        <w:t>posiada Pani/Pan:</w:t>
      </w:r>
    </w:p>
    <w:p>
      <w:pPr>
        <w:pStyle w:val="ListParagraph"/>
        <w:numPr>
          <w:ilvl w:val="0"/>
          <w:numId w:val="3"/>
        </w:numPr>
        <w:spacing w:lineRule="auto" w:line="240" w:before="57" w:after="57"/>
        <w:ind w:hanging="283" w:left="709" w:right="0"/>
        <w:contextualSpacing w:val="false"/>
        <w:jc w:val="both"/>
        <w:rPr>
          <w:rFonts w:ascii="Times New Roman" w:hAnsi="Times New Roman" w:eastAsia="Times New Roman" w:cs="Arial"/>
          <w:sz w:val="24"/>
          <w:szCs w:val="24"/>
          <w:lang w:eastAsia="pl-PL"/>
        </w:rPr>
      </w:pPr>
      <w:r>
        <w:rPr>
          <w:rFonts w:eastAsia="Times New Roman" w:cs="Arial" w:ascii="Times New Roman" w:hAnsi="Times New Roman"/>
          <w:sz w:val="24"/>
          <w:szCs w:val="24"/>
          <w:lang w:eastAsia="pl-PL"/>
        </w:rPr>
        <w:t>na podstawie art. 15 RODO prawo dostępu do danych osobowych Pani/Pana dotyczących;</w:t>
      </w:r>
    </w:p>
    <w:p>
      <w:pPr>
        <w:pStyle w:val="ListParagraph"/>
        <w:numPr>
          <w:ilvl w:val="0"/>
          <w:numId w:val="3"/>
        </w:numPr>
        <w:spacing w:lineRule="auto" w:line="240" w:before="57" w:after="57"/>
        <w:ind w:hanging="283" w:left="709" w:right="0"/>
        <w:contextualSpacing w:val="false"/>
        <w:jc w:val="both"/>
        <w:rPr>
          <w:rFonts w:ascii="Times New Roman" w:hAnsi="Times New Roman" w:eastAsia="Times New Roman" w:cs="Arial"/>
          <w:sz w:val="24"/>
          <w:szCs w:val="24"/>
          <w:lang w:eastAsia="pl-PL"/>
        </w:rPr>
      </w:pPr>
      <w:r>
        <w:rPr>
          <w:rFonts w:eastAsia="Times New Roman" w:cs="Arial" w:ascii="Times New Roman" w:hAnsi="Times New Roman"/>
          <w:sz w:val="24"/>
          <w:szCs w:val="24"/>
          <w:lang w:eastAsia="pl-PL"/>
        </w:rPr>
        <w:t>na podstawie art. 16 RODO prawo do sprostowania Pani/Pana danych osobowych;</w:t>
      </w:r>
    </w:p>
    <w:p>
      <w:pPr>
        <w:pStyle w:val="ListParagraph"/>
        <w:numPr>
          <w:ilvl w:val="0"/>
          <w:numId w:val="3"/>
        </w:numPr>
        <w:spacing w:lineRule="auto" w:line="240" w:before="57" w:after="57"/>
        <w:ind w:hanging="283" w:left="709" w:right="0"/>
        <w:contextualSpacing w:val="false"/>
        <w:jc w:val="both"/>
        <w:rPr>
          <w:rFonts w:ascii="Times New Roman" w:hAnsi="Times New Roman" w:eastAsia="Times New Roman" w:cs="Arial"/>
          <w:sz w:val="24"/>
          <w:szCs w:val="24"/>
          <w:lang w:eastAsia="pl-PL"/>
        </w:rPr>
      </w:pPr>
      <w:r>
        <w:rPr>
          <w:rFonts w:eastAsia="Times New Roman" w:cs="Arial" w:ascii="Times New Roman" w:hAnsi="Times New Roman"/>
          <w:sz w:val="24"/>
          <w:szCs w:val="24"/>
          <w:lang w:eastAsia="pl-PL"/>
        </w:rPr>
        <w:t xml:space="preserve"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  </w:t>
      </w:r>
    </w:p>
    <w:p>
      <w:pPr>
        <w:pStyle w:val="ListParagraph"/>
        <w:numPr>
          <w:ilvl w:val="0"/>
          <w:numId w:val="3"/>
        </w:numPr>
        <w:spacing w:lineRule="auto" w:line="240" w:before="57" w:after="57"/>
        <w:ind w:hanging="283" w:left="709" w:right="0"/>
        <w:contextualSpacing w:val="false"/>
        <w:jc w:val="both"/>
        <w:rPr>
          <w:rFonts w:ascii="Times New Roman" w:hAnsi="Times New Roman" w:eastAsia="Times New Roman" w:cs="Arial"/>
          <w:sz w:val="24"/>
          <w:szCs w:val="24"/>
          <w:lang w:eastAsia="pl-PL"/>
        </w:rPr>
      </w:pPr>
      <w:r>
        <w:rPr>
          <w:rFonts w:eastAsia="Times New Roman" w:cs="Arial" w:ascii="Times New Roman" w:hAnsi="Times New Roman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426" w:left="426" w:right="0"/>
        <w:contextualSpacing w:val="false"/>
        <w:jc w:val="both"/>
        <w:rPr>
          <w:rFonts w:ascii="Times New Roman" w:hAnsi="Times New Roman" w:eastAsia="Times New Roman" w:cs="Arial"/>
          <w:sz w:val="24"/>
          <w:szCs w:val="24"/>
          <w:lang w:eastAsia="pl-PL"/>
        </w:rPr>
      </w:pPr>
      <w:r>
        <w:rPr>
          <w:rFonts w:eastAsia="Times New Roman" w:cs="Arial" w:ascii="Times New Roman" w:hAnsi="Times New Roman"/>
          <w:sz w:val="24"/>
          <w:szCs w:val="24"/>
          <w:lang w:eastAsia="pl-PL"/>
        </w:rPr>
        <w:t>nie przysługuje Pani/Panu:</w:t>
      </w:r>
    </w:p>
    <w:p>
      <w:pPr>
        <w:pStyle w:val="ListParagraph"/>
        <w:numPr>
          <w:ilvl w:val="0"/>
          <w:numId w:val="4"/>
        </w:numPr>
        <w:spacing w:lineRule="auto" w:line="240" w:before="0" w:after="57"/>
        <w:ind w:hanging="283" w:left="709" w:right="0"/>
        <w:contextualSpacing w:val="false"/>
        <w:jc w:val="both"/>
        <w:rPr>
          <w:rFonts w:ascii="Times New Roman" w:hAnsi="Times New Roman" w:eastAsia="Times New Roman" w:cs="Arial"/>
          <w:sz w:val="24"/>
          <w:szCs w:val="24"/>
          <w:lang w:eastAsia="pl-PL"/>
        </w:rPr>
      </w:pPr>
      <w:r>
        <w:rPr>
          <w:rFonts w:eastAsia="Times New Roman" w:cs="Arial" w:ascii="Times New Roman" w:hAnsi="Times New Roman"/>
          <w:sz w:val="24"/>
          <w:szCs w:val="24"/>
          <w:lang w:eastAsia="pl-PL"/>
        </w:rPr>
        <w:t>w związku z art. 17 ust. 3 lit. b, d lub e RODO prawo do usunięcia danych osobowych;</w:t>
      </w:r>
    </w:p>
    <w:p>
      <w:pPr>
        <w:pStyle w:val="ListParagraph"/>
        <w:numPr>
          <w:ilvl w:val="0"/>
          <w:numId w:val="4"/>
        </w:numPr>
        <w:spacing w:lineRule="auto" w:line="240" w:before="0" w:after="57"/>
        <w:ind w:hanging="283" w:left="709" w:right="0"/>
        <w:contextualSpacing w:val="false"/>
        <w:jc w:val="both"/>
        <w:rPr>
          <w:rFonts w:ascii="Times New Roman" w:hAnsi="Times New Roman" w:eastAsia="Times New Roman" w:cs="Arial"/>
          <w:sz w:val="24"/>
          <w:szCs w:val="24"/>
          <w:lang w:eastAsia="pl-PL"/>
        </w:rPr>
      </w:pPr>
      <w:r>
        <w:rPr>
          <w:rFonts w:eastAsia="Times New Roman" w:cs="Arial" w:ascii="Times New Roman" w:hAnsi="Times New Roman"/>
          <w:sz w:val="24"/>
          <w:szCs w:val="24"/>
          <w:lang w:eastAsia="pl-PL"/>
        </w:rPr>
        <w:t>prawo do przenoszenia danych osobowych, o którym mowa w art. 20 RODO;</w:t>
      </w:r>
    </w:p>
    <w:p>
      <w:pPr>
        <w:pStyle w:val="ListParagraph"/>
        <w:numPr>
          <w:ilvl w:val="0"/>
          <w:numId w:val="4"/>
        </w:numPr>
        <w:spacing w:lineRule="auto" w:line="240" w:before="0" w:after="57"/>
        <w:ind w:hanging="283" w:left="709" w:righ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eastAsia="Times New Roman" w:cs="Arial" w:ascii="Times New Roman" w:hAnsi="Times New Roman"/>
          <w:sz w:val="24"/>
          <w:szCs w:val="24"/>
          <w:lang w:eastAsia="pl-PL"/>
        </w:rPr>
        <w:t>.</w:t>
      </w:r>
      <w:r>
        <w:rPr>
          <w:rFonts w:eastAsia="Times New Roman" w:cs="Arial" w:ascii="Times New Roman" w:hAnsi="Times New Roman"/>
          <w:b/>
          <w:sz w:val="24"/>
          <w:szCs w:val="24"/>
          <w:lang w:eastAsia="pl-PL"/>
        </w:rPr>
        <w:t xml:space="preserve"> </w:t>
      </w:r>
    </w:p>
    <w:p>
      <w:pPr>
        <w:pStyle w:val="ListParagraph"/>
        <w:numPr>
          <w:ilvl w:val="0"/>
          <w:numId w:val="0"/>
        </w:numPr>
        <w:spacing w:lineRule="auto" w:line="240" w:before="0" w:after="57"/>
        <w:ind w:hanging="0" w:left="709" w:right="0"/>
        <w:contextualSpacing w:val="false"/>
        <w:jc w:val="both"/>
        <w:rPr/>
      </w:pPr>
      <w:r>
        <w:rPr/>
      </w:r>
    </w:p>
    <w:p>
      <w:pPr>
        <w:pStyle w:val="ListParagraph"/>
        <w:widowControl/>
        <w:bidi w:val="0"/>
        <w:spacing w:lineRule="auto" w:line="240" w:before="0" w:after="113"/>
        <w:ind w:hanging="0" w:left="105" w:right="0"/>
        <w:contextualSpacing w:val="false"/>
        <w:jc w:val="both"/>
        <w:rPr/>
      </w:pPr>
      <w:r>
        <w:rPr/>
        <w:t xml:space="preserve">Zgodnie z art. 19 ust. 4 </w:t>
      </w:r>
      <w:r>
        <w:rPr>
          <w:rFonts w:eastAsia="Times New Roman" w:cs="Arial"/>
          <w:lang w:eastAsia="pl-PL"/>
        </w:rPr>
        <w:t xml:space="preserve">ustawy Pzp </w:t>
      </w:r>
      <w:r>
        <w:rPr/>
        <w:t>Zamawiający informuje o ograniczeniach, o których mowa w art. 19 ust. 2 i 3 ustawy Prawo zamówień publicznych:</w:t>
      </w:r>
    </w:p>
    <w:p>
      <w:pPr>
        <w:pStyle w:val="ListParagraph"/>
        <w:widowControl/>
        <w:numPr>
          <w:ilvl w:val="0"/>
          <w:numId w:val="5"/>
        </w:numPr>
        <w:tabs>
          <w:tab w:val="clear" w:pos="708"/>
          <w:tab w:val="left" w:pos="525" w:leader="none"/>
        </w:tabs>
        <w:bidi w:val="0"/>
        <w:spacing w:lineRule="auto" w:line="240" w:before="0" w:after="0"/>
        <w:ind w:hanging="330" w:left="465" w:right="0"/>
        <w:contextualSpacing w:val="false"/>
        <w:jc w:val="both"/>
        <w:rPr>
          <w:rFonts w:ascii="Times New Roman" w:hAnsi="Times New Roman" w:eastAsia="Times New Roman" w:cs="Arial"/>
          <w:b w:val="false"/>
          <w:bCs w:val="false"/>
          <w:i w:val="false"/>
          <w:i w:val="false"/>
          <w:iCs w:val="false"/>
          <w:color w:val="000000"/>
          <w:sz w:val="24"/>
          <w:szCs w:val="24"/>
          <w:lang w:val="pl-PL" w:eastAsia="pl-PL"/>
        </w:rPr>
      </w:pP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lang w:val="pl-PL" w:eastAsia="pl-PL"/>
        </w:rPr>
        <w:t>Skorzystanie przez osobę, której dane osobowe dotyczą, z uprawnienia do sprostowania lub uzupełnienia, o którym mowa w art. 16 rozporządzenia 2016/679, nie może skutkować zmianą wyniku postępowania o udzielenie zamówienia ani zmianą postanowień umowy w sprawie zamówienia publicznego w zakresie niezgodnym</w:t>
        <w:br/>
        <w:t>z ustawą.</w:t>
      </w:r>
    </w:p>
    <w:p>
      <w:pPr>
        <w:pStyle w:val="ListParagraph"/>
        <w:widowControl/>
        <w:numPr>
          <w:ilvl w:val="0"/>
          <w:numId w:val="5"/>
        </w:numPr>
        <w:tabs>
          <w:tab w:val="clear" w:pos="708"/>
          <w:tab w:val="left" w:pos="525" w:leader="none"/>
        </w:tabs>
        <w:bidi w:val="0"/>
        <w:spacing w:lineRule="auto" w:line="240" w:before="0" w:after="170"/>
        <w:ind w:hanging="330" w:left="465" w:right="0"/>
        <w:contextualSpacing w:val="false"/>
        <w:jc w:val="both"/>
        <w:rPr>
          <w:rFonts w:ascii="Times New Roman" w:hAnsi="Times New Roman" w:eastAsia="Times New Roman" w:cs="Arial"/>
          <w:b w:val="false"/>
          <w:bCs w:val="false"/>
          <w:i w:val="false"/>
          <w:i w:val="false"/>
          <w:iCs w:val="false"/>
          <w:color w:val="000000"/>
          <w:sz w:val="24"/>
          <w:szCs w:val="24"/>
          <w:lang w:val="pl-PL" w:eastAsia="pl-PL"/>
        </w:rPr>
      </w:pP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lang w:val="pl-PL" w:eastAsia="pl-PL"/>
        </w:rPr>
        <w:t>W postępowaniu o udzielenie zamówienia zgłoszenie żądania ograniczenia przetwarzania, o którym mowa w art. 18 ust. 1 rozporządzenia 2016/679, nie ogranicza przetwarzania danych osobowych do czasu zakończenia tego postępowania.</w:t>
      </w:r>
    </w:p>
    <w:p>
      <w:pPr>
        <w:pStyle w:val="ListParagraph"/>
        <w:spacing w:lineRule="auto" w:line="240" w:before="0" w:after="150"/>
        <w:ind w:hanging="0" w:left="0" w:right="0"/>
        <w:contextualSpacing w:val="false"/>
        <w:jc w:val="both"/>
        <w:rPr>
          <w:rFonts w:ascii="Times New Roman" w:hAnsi="Times New Roman" w:eastAsia="Times New Roman" w:cs="Arial"/>
          <w:b w:val="false"/>
          <w:bCs w:val="false"/>
          <w:i w:val="false"/>
          <w:i w:val="false"/>
          <w:iCs w:val="false"/>
          <w:color w:val="000000"/>
          <w:sz w:val="24"/>
          <w:szCs w:val="24"/>
          <w:lang w:val="pl-PL" w:eastAsia="pl-PL"/>
        </w:rPr>
      </w:pP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lang w:val="pl-PL" w:eastAsia="pl-PL"/>
        </w:rPr>
        <w:t>Zamawiający udostępnia dane osobowe, o których mowa w art. 10 rozporządzenia 2016/679, w celu umożliwienia korzystania ze środków ochrony prawnej, o których mowa w dziale IX, do upływu terminu na ich wniesienie.</w:t>
      </w:r>
    </w:p>
    <w:p>
      <w:pPr>
        <w:pStyle w:val="ListParagraph"/>
        <w:spacing w:lineRule="auto" w:line="240" w:before="0" w:after="150"/>
        <w:ind w:hanging="0" w:left="0" w:right="0"/>
        <w:contextualSpacing w:val="false"/>
        <w:jc w:val="both"/>
        <w:rPr>
          <w:rFonts w:ascii="Times New Roman" w:hAnsi="Times New Roman" w:eastAsia="Times New Roman" w:cs="Arial"/>
          <w:b w:val="false"/>
          <w:bCs w:val="false"/>
          <w:i w:val="false"/>
          <w:i w:val="false"/>
          <w:iCs w:val="false"/>
          <w:color w:val="000000"/>
          <w:sz w:val="24"/>
          <w:szCs w:val="24"/>
          <w:lang w:val="pl-PL" w:eastAsia="pl-PL"/>
        </w:rPr>
      </w:pP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lang w:val="pl-PL" w:eastAsia="pl-PL"/>
        </w:rPr>
        <w:t>W przypadku gdy wniesienie żądania dotyczącego prawa, o którym mowa w art. 18 ust. 1 rozporządzenia 2016/679,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>
      <w:pPr>
        <w:pStyle w:val="ListParagraph"/>
        <w:spacing w:lineRule="auto" w:line="240" w:before="0" w:after="150"/>
        <w:ind w:hanging="0" w:left="0" w:right="0"/>
        <w:contextualSpacing w:val="false"/>
        <w:jc w:val="both"/>
        <w:rPr>
          <w:rFonts w:ascii="Times New Roman" w:hAnsi="Times New Roman" w:eastAsia="Times New Roman" w:cs="Arial"/>
          <w:b w:val="false"/>
          <w:bCs w:val="false"/>
          <w:i w:val="false"/>
          <w:i w:val="false"/>
          <w:iCs w:val="false"/>
          <w:color w:val="000000"/>
          <w:sz w:val="24"/>
          <w:szCs w:val="24"/>
          <w:lang w:val="pl-PL" w:eastAsia="pl-PL"/>
        </w:rPr>
      </w:pP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lang w:val="pl-PL" w:eastAsia="pl-PL"/>
        </w:rPr>
        <w:t>Udostępnianie, o którym mowa w art. 74 ust. 1 i 2 ustawy Pzp, ma zastosowanie do wszystkich danych osobowych, z wyjątkiem danych, o których mowa w art. 9 ust. 1 rozporządzenia 2016/679, zebranych w toku postępowania o udzielenie zamówienia. Ograniczenia zasady jawności, o których mowa wyżej i w art. 18 ust. 3–6, stosuje się odpowiednio.</w:t>
      </w:r>
    </w:p>
    <w:p>
      <w:pPr>
        <w:pStyle w:val="ListParagraph"/>
        <w:spacing w:lineRule="auto" w:line="240" w:before="0" w:after="150"/>
        <w:ind w:hanging="0" w:left="0" w:right="0"/>
        <w:contextualSpacing w:val="false"/>
        <w:jc w:val="both"/>
        <w:rPr>
          <w:rFonts w:ascii="Times New Roman" w:hAnsi="Times New Roman" w:eastAsia="Times New Roman" w:cs="Arial"/>
          <w:b w:val="false"/>
          <w:bCs w:val="false"/>
          <w:i w:val="false"/>
          <w:i w:val="false"/>
          <w:iCs w:val="false"/>
          <w:color w:val="000000"/>
          <w:sz w:val="24"/>
          <w:szCs w:val="24"/>
          <w:lang w:val="pl-PL" w:eastAsia="pl-PL"/>
        </w:rPr>
      </w:pP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lang w:val="pl-PL" w:eastAsia="pl-PL"/>
        </w:rPr>
        <w:t>W przypadku korzystania przez osobę, której dane osobowe są przetwarzane przez zamawiającego, z uprawnienia, o którym mowa w art. 15 ust. 1–3 rozporządzenia 2016/679, zamawiający może żądać od osoby występującej z żądaniem wskazania dodatkowych informacji, mających na celu sprecyzowanie nazwy lub daty zakończonego postępowania</w:t>
        <w:br/>
        <w:t>o udzielenie zamówienia.</w:t>
      </w:r>
    </w:p>
    <w:p>
      <w:pPr>
        <w:pStyle w:val="ListParagraph"/>
        <w:spacing w:lineRule="auto" w:line="240" w:before="0" w:after="150"/>
        <w:ind w:hanging="0" w:left="0" w:right="0"/>
        <w:contextualSpacing w:val="false"/>
        <w:jc w:val="both"/>
        <w:rPr>
          <w:rFonts w:ascii="Times New Roman" w:hAnsi="Times New Roman" w:eastAsia="Times New Roman" w:cs="Arial"/>
          <w:b w:val="false"/>
          <w:bCs w:val="false"/>
          <w:i w:val="false"/>
          <w:i w:val="false"/>
          <w:iCs w:val="false"/>
          <w:color w:val="000000"/>
          <w:sz w:val="24"/>
          <w:szCs w:val="24"/>
          <w:lang w:val="pl-PL" w:eastAsia="pl-PL"/>
        </w:rPr>
      </w:pPr>
      <w:r>
        <w:rPr>
          <w:rFonts w:eastAsia="Times New Roman" w:cs="Arial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lang w:val="pl-PL" w:eastAsia="pl-PL"/>
        </w:rPr>
        <w:t>Skorzystanie przez osobę, której dane osobowe są przetwarzane, z uprawnienia do sprostowania lub uzupełnienia danych osobowych, o którym mowa w art. 16 rozporządzenia 2016/679, nie może naruszać integralności protokołu postępowania oraz jego załączników.</w:t>
      </w:r>
    </w:p>
    <w:p>
      <w:pPr>
        <w:pStyle w:val="ListParagraph"/>
        <w:spacing w:lineRule="auto" w:line="360" w:before="0" w:after="150"/>
        <w:ind w:hanging="0" w:left="709" w:right="0"/>
        <w:contextualSpacing w:val="false"/>
        <w:jc w:val="both"/>
        <w:rPr>
          <w:lang w:val="pl-PL"/>
        </w:rPr>
      </w:pPr>
      <w:r>
        <w:rPr>
          <w:lang w:val="pl-PL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17" w:right="991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alibri">
    <w:charset w:val="ee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  <w:font w:name="Times New Roman">
    <w:charset w:val="01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3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7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4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5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7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6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141605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1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141605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2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26"/>
        </w:tabs>
        <w:ind w:left="4026" w:hanging="360"/>
      </w:pPr>
      <w:rPr>
        <w:rFonts w:ascii="OpenSymbol" w:hAnsi="OpenSymbol" w:cs="OpenSymbol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eb4def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eb4def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eb4de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eb4de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eb4de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eb4de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dark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eb4de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dark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eb4def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dark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eb4def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dark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eb4def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eb4def"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eb4def"/>
    <w:rPr>
      <w:i/>
      <w:iCs/>
      <w:color w:themeColor="dark1" w:themeTint="bf" w:val="404040"/>
    </w:rPr>
  </w:style>
  <w:style w:type="character" w:styleId="IntenseEmphasis">
    <w:name w:val="Intense Emphasis"/>
    <w:basedOn w:val="DefaultParagraphFont"/>
    <w:uiPriority w:val="21"/>
    <w:qFormat/>
    <w:rsid w:val="00eb4def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eb4def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b4def"/>
    <w:rPr>
      <w:b/>
      <w:bCs/>
      <w:smallCaps/>
      <w:color w:themeColor="accent1" w:themeShade="bf" w:val="0F4761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dc080c"/>
    <w:rPr/>
  </w:style>
  <w:style w:type="character" w:styleId="StopkaZnak" w:customStyle="1">
    <w:name w:val="Stopka Znak"/>
    <w:basedOn w:val="DefaultParagraphFont"/>
    <w:uiPriority w:val="99"/>
    <w:qFormat/>
    <w:rsid w:val="00dc080c"/>
    <w:rPr/>
  </w:style>
  <w:style w:type="character" w:styleId="Strong">
    <w:name w:val="Strong"/>
    <w:basedOn w:val="DefaultParagraphFont"/>
    <w:uiPriority w:val="22"/>
    <w:qFormat/>
    <w:rsid w:val="00496a49"/>
    <w:rPr>
      <w:b/>
      <w:bCs/>
    </w:rPr>
  </w:style>
  <w:style w:type="character" w:styleId="Domylnaczcionkaakapitu">
    <w:name w:val="Domyślna czcionka akapitu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80"/>
      <w:u w:val="single"/>
    </w:rPr>
  </w:style>
  <w:style w:type="character" w:styleId="Zeichenformat">
    <w:name w:val="Zeichenformat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eb4def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eb4def"/>
    <w:pPr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eb4def"/>
    <w:pPr>
      <w:spacing w:before="160" w:after="160"/>
      <w:jc w:val="center"/>
    </w:pPr>
    <w:rPr>
      <w:i/>
      <w:iCs/>
      <w:color w:themeColor="dark1" w:themeTint="bf" w:val="404040"/>
    </w:rPr>
  </w:style>
  <w:style w:type="paragraph" w:styleId="ListParagraph">
    <w:name w:val="List Paragraph"/>
    <w:basedOn w:val="Normal"/>
    <w:uiPriority w:val="34"/>
    <w:qFormat/>
    <w:rsid w:val="00eb4def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sselectedend" w:customStyle="1">
    <w:name w:val="isselectedend"/>
    <w:basedOn w:val="Normal"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footnotetext1">
    <w:name w:val="footnote text1"/>
    <w:basedOn w:val="Normal"/>
    <w:qFormat/>
    <w:pPr>
      <w:numPr>
        <w:ilvl w:val="0"/>
        <w:numId w:val="0"/>
      </w:numPr>
      <w:spacing w:lineRule="auto" w:line="240" w:before="0" w:after="0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wojciech.gawecki@starachowice.eu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LibreOffice/24.8.7.2$Windows_x86 LibreOffice_project/e07d0a63a46349d29051da79b1fde8160bab2a89</Application>
  <AppVersion>15.0000</AppVersion>
  <Pages>2</Pages>
  <Words>838</Words>
  <Characters>5062</Characters>
  <CharactersWithSpaces>5861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2026-04-17T11:14:00Z</dcterms:created>
  <dc:creator>Martyna Stępień</dc:creator>
  <dc:description/>
  <dc:language>pl-PL</dc:language>
  <cp:lastModifiedBy/>
  <cp:lastPrinted>2026-04-17T08:47:00Z</cp:lastPrinted>
  <dcterms:modified xsi:type="dcterms:W3CDTF">2026-08-03T12:13:45Z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